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jc w:val="center"/>
        <w:rPr>
          <w:rFonts w:ascii="宋体" w:hAnsi="宋体" w:eastAsia="宋体"/>
          <w:color w:val="auto"/>
        </w:rPr>
      </w:pPr>
      <w:bookmarkStart w:id="0" w:name="_Toc32677"/>
      <w:r>
        <w:rPr>
          <w:rFonts w:hint="eastAsia"/>
          <w:color w:val="auto"/>
        </w:rPr>
        <w:t>用户需求书</w:t>
      </w:r>
      <w:bookmarkEnd w:id="0"/>
    </w:p>
    <w:p>
      <w:pPr>
        <w:spacing w:line="348" w:lineRule="auto"/>
        <w:ind w:firstLine="482" w:firstLineChars="200"/>
        <w:jc w:val="left"/>
        <w:rPr>
          <w:rFonts w:hint="eastAsia" w:ascii="宋体" w:hAnsi="宋体" w:cs="宋体"/>
          <w:b/>
          <w:bCs/>
          <w:sz w:val="24"/>
        </w:rPr>
      </w:pPr>
      <w:r>
        <w:rPr>
          <w:rFonts w:hint="eastAsia" w:ascii="宋体" w:hAnsi="宋体" w:cs="宋体"/>
          <w:b/>
          <w:bCs/>
          <w:sz w:val="24"/>
        </w:rPr>
        <w:t>一、项目概况</w:t>
      </w:r>
    </w:p>
    <w:p>
      <w:pPr>
        <w:spacing w:line="580" w:lineRule="exact"/>
        <w:ind w:firstLine="560" w:firstLineChars="200"/>
        <w:rPr>
          <w:rFonts w:hint="eastAsia" w:cs="方正仿宋简体" w:asciiTheme="minorEastAsia" w:hAnsiTheme="minorEastAsia" w:eastAsiaTheme="minorEastAsia"/>
          <w:bCs/>
          <w:color w:val="auto"/>
          <w:sz w:val="28"/>
          <w:szCs w:val="28"/>
          <w:highlight w:val="none"/>
        </w:rPr>
      </w:pPr>
      <w:r>
        <w:rPr>
          <w:rFonts w:hint="eastAsia" w:cs="方正仿宋简体" w:asciiTheme="minorEastAsia" w:hAnsiTheme="minorEastAsia" w:eastAsiaTheme="minorEastAsia"/>
          <w:bCs/>
          <w:color w:val="auto"/>
          <w:sz w:val="28"/>
          <w:szCs w:val="28"/>
          <w:highlight w:val="none"/>
        </w:rPr>
        <w:t>石台县科技孵化及物流产业园建设项目规划服务项目位于石台县小河镇内。</w:t>
      </w:r>
    </w:p>
    <w:p>
      <w:pPr>
        <w:numPr>
          <w:ilvl w:val="0"/>
          <w:numId w:val="1"/>
        </w:numPr>
        <w:spacing w:line="348" w:lineRule="auto"/>
        <w:ind w:firstLine="482" w:firstLineChars="200"/>
        <w:jc w:val="left"/>
        <w:rPr>
          <w:rFonts w:hint="eastAsia" w:ascii="宋体" w:hAnsi="宋体" w:cs="宋体"/>
          <w:b/>
          <w:bCs/>
          <w:sz w:val="24"/>
        </w:rPr>
      </w:pPr>
      <w:r>
        <w:rPr>
          <w:rFonts w:hint="eastAsia" w:ascii="宋体" w:hAnsi="宋体" w:cs="宋体"/>
          <w:b/>
          <w:bCs/>
          <w:sz w:val="24"/>
        </w:rPr>
        <w:t>服务需求及技术要求</w:t>
      </w:r>
    </w:p>
    <w:p>
      <w:pPr>
        <w:spacing w:line="480" w:lineRule="exact"/>
        <w:ind w:firstLine="560" w:firstLineChars="200"/>
        <w:rPr>
          <w:rFonts w:ascii="宋体" w:hAnsi="宋体"/>
          <w:color w:val="auto"/>
          <w:sz w:val="28"/>
          <w:szCs w:val="28"/>
        </w:rPr>
      </w:pPr>
      <w:r>
        <w:rPr>
          <w:rFonts w:hint="eastAsia" w:ascii="宋体" w:hAnsi="宋体"/>
          <w:color w:val="auto"/>
          <w:sz w:val="28"/>
          <w:szCs w:val="28"/>
        </w:rPr>
        <w:t>1、</w:t>
      </w:r>
      <w:r>
        <w:rPr>
          <w:rFonts w:hint="eastAsia" w:ascii="宋体" w:hAnsi="宋体" w:cs="Arial"/>
          <w:color w:val="auto"/>
          <w:sz w:val="28"/>
          <w:szCs w:val="28"/>
        </w:rPr>
        <w:t>服务工作内</w:t>
      </w:r>
      <w:bookmarkStart w:id="1" w:name="_GoBack"/>
      <w:bookmarkEnd w:id="1"/>
      <w:r>
        <w:rPr>
          <w:rFonts w:hint="eastAsia" w:ascii="宋体" w:hAnsi="宋体" w:cs="Arial"/>
          <w:color w:val="auto"/>
          <w:sz w:val="28"/>
          <w:szCs w:val="28"/>
        </w:rPr>
        <w:t>容</w:t>
      </w:r>
    </w:p>
    <w:p>
      <w:pPr>
        <w:spacing w:line="580" w:lineRule="exact"/>
        <w:ind w:firstLine="560" w:firstLineChars="200"/>
        <w:rPr>
          <w:rFonts w:hint="eastAsia" w:cs="方正仿宋简体" w:asciiTheme="minorEastAsia" w:hAnsiTheme="minorEastAsia" w:eastAsiaTheme="minorEastAsia"/>
          <w:bCs/>
          <w:color w:val="auto"/>
          <w:sz w:val="28"/>
          <w:szCs w:val="28"/>
          <w:highlight w:val="none"/>
        </w:rPr>
      </w:pPr>
      <w:r>
        <w:rPr>
          <w:rFonts w:hint="eastAsia" w:cs="方正仿宋简体" w:asciiTheme="minorEastAsia" w:hAnsiTheme="minorEastAsia" w:eastAsiaTheme="minorEastAsia"/>
          <w:bCs/>
          <w:color w:val="auto"/>
          <w:sz w:val="28"/>
          <w:szCs w:val="28"/>
          <w:highlight w:val="none"/>
        </w:rPr>
        <w:t>本次招标范围为石台县现代物流产业园修建性详细</w:t>
      </w:r>
      <w:r>
        <w:rPr>
          <w:rFonts w:hint="eastAsia" w:cs="方正仿宋简体" w:asciiTheme="minorEastAsia" w:hAnsiTheme="minorEastAsia" w:eastAsiaTheme="minorEastAsia"/>
          <w:bCs/>
          <w:color w:val="auto"/>
          <w:sz w:val="28"/>
          <w:szCs w:val="28"/>
          <w:highlight w:val="none"/>
          <w:lang w:val="en-US" w:eastAsia="zh-CN"/>
        </w:rPr>
        <w:t>规划</w:t>
      </w:r>
      <w:r>
        <w:rPr>
          <w:rFonts w:hint="eastAsia" w:cs="方正仿宋简体" w:asciiTheme="minorEastAsia" w:hAnsiTheme="minorEastAsia" w:eastAsiaTheme="minorEastAsia"/>
          <w:bCs/>
          <w:color w:val="auto"/>
          <w:sz w:val="28"/>
          <w:szCs w:val="28"/>
          <w:highlight w:val="none"/>
        </w:rPr>
        <w:t>，本修建性详细规划范围为：</w:t>
      </w:r>
    </w:p>
    <w:p>
      <w:pPr>
        <w:spacing w:line="580" w:lineRule="exact"/>
        <w:ind w:firstLine="560" w:firstLineChars="200"/>
        <w:rPr>
          <w:rFonts w:hint="eastAsia" w:cs="方正仿宋简体" w:asciiTheme="minorEastAsia" w:hAnsiTheme="minorEastAsia" w:eastAsiaTheme="minorEastAsia"/>
          <w:bCs/>
          <w:color w:val="auto"/>
          <w:sz w:val="28"/>
          <w:szCs w:val="28"/>
          <w:highlight w:val="none"/>
        </w:rPr>
      </w:pPr>
      <w:r>
        <w:rPr>
          <w:rFonts w:hint="eastAsia" w:cs="方正仿宋简体" w:asciiTheme="minorEastAsia" w:hAnsiTheme="minorEastAsia" w:eastAsiaTheme="minorEastAsia"/>
          <w:bCs/>
          <w:color w:val="auto"/>
          <w:sz w:val="28"/>
          <w:szCs w:val="28"/>
          <w:highlight w:val="none"/>
        </w:rPr>
        <w:t>项目总征地约1000 亩，包括</w:t>
      </w:r>
      <w:r>
        <w:rPr>
          <w:rFonts w:hint="eastAsia" w:cs="方正仿宋简体" w:asciiTheme="minorEastAsia" w:hAnsiTheme="minorEastAsia" w:eastAsiaTheme="minorEastAsia"/>
          <w:bCs/>
          <w:color w:val="auto"/>
          <w:sz w:val="28"/>
          <w:szCs w:val="28"/>
          <w:highlight w:val="none"/>
          <w:lang w:val="en-US" w:eastAsia="zh-CN"/>
        </w:rPr>
        <w:t>但</w:t>
      </w:r>
      <w:r>
        <w:rPr>
          <w:rFonts w:hint="eastAsia" w:cs="方正仿宋简体" w:asciiTheme="minorEastAsia" w:hAnsiTheme="minorEastAsia" w:eastAsiaTheme="minorEastAsia"/>
          <w:bCs/>
          <w:color w:val="auto"/>
          <w:sz w:val="28"/>
          <w:szCs w:val="28"/>
          <w:highlight w:val="none"/>
        </w:rPr>
        <w:t>不限于：现代物流产业园、科技孵化园、冷链物流园。 建设标准化厂房、装卸中心、加工中心、综合楼、服务中心、站台场地等； 园区建设给排水、电气、暖通等辅助工程； 购置装载机、叉车、皮带运输机、洒水车、地磅及各类货架、计量设备、化验设备和包装机械等小型配套设备； 建设园区智慧化系统；配套市政基础设施建设等。</w:t>
      </w:r>
    </w:p>
    <w:p>
      <w:pPr>
        <w:spacing w:line="580" w:lineRule="exact"/>
        <w:ind w:firstLine="560" w:firstLineChars="200"/>
        <w:rPr>
          <w:rFonts w:cs="方正仿宋简体" w:asciiTheme="minorEastAsia" w:hAnsiTheme="minorEastAsia" w:eastAsiaTheme="minorEastAsia"/>
          <w:bCs/>
          <w:color w:val="auto"/>
          <w:sz w:val="28"/>
          <w:szCs w:val="28"/>
          <w:highlight w:val="none"/>
        </w:rPr>
      </w:pPr>
      <w:r>
        <w:rPr>
          <w:rFonts w:hint="eastAsia" w:cs="方正仿宋简体" w:asciiTheme="minorEastAsia" w:hAnsiTheme="minorEastAsia" w:eastAsiaTheme="minorEastAsia"/>
          <w:bCs/>
          <w:color w:val="auto"/>
          <w:sz w:val="28"/>
          <w:szCs w:val="28"/>
          <w:highlight w:val="none"/>
        </w:rPr>
        <w:t>本次规划结合现代物流园营建，</w:t>
      </w:r>
      <w:r>
        <w:rPr>
          <w:rFonts w:hint="eastAsia" w:cs="方正仿宋简体" w:asciiTheme="minorEastAsia" w:hAnsiTheme="minorEastAsia" w:eastAsiaTheme="minorEastAsia"/>
          <w:b/>
          <w:bCs/>
          <w:color w:val="auto"/>
          <w:sz w:val="28"/>
          <w:szCs w:val="28"/>
          <w:highlight w:val="none"/>
        </w:rPr>
        <w:t>重点对接新建非金属矿铁路专用线项目</w:t>
      </w:r>
      <w:r>
        <w:rPr>
          <w:rFonts w:hint="eastAsia" w:cs="方正仿宋简体" w:asciiTheme="minorEastAsia" w:hAnsiTheme="minorEastAsia" w:eastAsiaTheme="minorEastAsia"/>
          <w:bCs/>
          <w:color w:val="auto"/>
          <w:sz w:val="28"/>
          <w:szCs w:val="28"/>
          <w:highlight w:val="none"/>
        </w:rPr>
        <w:t>，在石台县现有规划的整体框架下进行开展。规划</w:t>
      </w:r>
      <w:r>
        <w:rPr>
          <w:rFonts w:hint="eastAsia" w:cs="方正仿宋简体" w:asciiTheme="minorEastAsia" w:hAnsiTheme="minorEastAsia" w:eastAsiaTheme="minorEastAsia"/>
          <w:bCs/>
          <w:color w:val="auto"/>
          <w:sz w:val="28"/>
          <w:szCs w:val="28"/>
          <w:highlight w:val="none"/>
          <w:lang w:val="en-US" w:eastAsia="zh-CN"/>
        </w:rPr>
        <w:t>需</w:t>
      </w:r>
      <w:r>
        <w:rPr>
          <w:rFonts w:hint="eastAsia" w:cs="方正仿宋简体" w:asciiTheme="minorEastAsia" w:hAnsiTheme="minorEastAsia" w:eastAsiaTheme="minorEastAsia"/>
          <w:bCs/>
          <w:color w:val="auto"/>
          <w:sz w:val="28"/>
          <w:szCs w:val="28"/>
          <w:highlight w:val="none"/>
        </w:rPr>
        <w:t>侧重</w:t>
      </w:r>
      <w:r>
        <w:rPr>
          <w:rFonts w:hint="eastAsia" w:cs="方正仿宋简体" w:asciiTheme="minorEastAsia" w:hAnsiTheme="minorEastAsia" w:eastAsiaTheme="minorEastAsia"/>
          <w:bCs/>
          <w:color w:val="auto"/>
          <w:sz w:val="28"/>
          <w:szCs w:val="28"/>
          <w:highlight w:val="none"/>
          <w:lang w:val="en-US" w:eastAsia="zh-CN"/>
        </w:rPr>
        <w:t>现代物流产业园</w:t>
      </w:r>
      <w:r>
        <w:rPr>
          <w:rFonts w:hint="eastAsia" w:cs="方正仿宋简体" w:asciiTheme="minorEastAsia" w:hAnsiTheme="minorEastAsia" w:eastAsiaTheme="minorEastAsia"/>
          <w:bCs/>
          <w:color w:val="auto"/>
          <w:sz w:val="28"/>
          <w:szCs w:val="28"/>
          <w:highlight w:val="none"/>
        </w:rPr>
        <w:t>的概念方案规划，明确不同类别主题项目的方案布局以及功能分区，结合石台县小河镇文化特色，展现石台县文化内涵，同时针对</w:t>
      </w:r>
      <w:r>
        <w:rPr>
          <w:rFonts w:hint="eastAsia" w:cs="方正仿宋简体" w:asciiTheme="minorEastAsia" w:hAnsiTheme="minorEastAsia" w:eastAsiaTheme="minorEastAsia"/>
          <w:bCs/>
          <w:color w:val="auto"/>
          <w:sz w:val="28"/>
          <w:szCs w:val="28"/>
          <w:highlight w:val="none"/>
          <w:lang w:val="en-US" w:eastAsia="zh-CN"/>
        </w:rPr>
        <w:t>该</w:t>
      </w:r>
      <w:r>
        <w:rPr>
          <w:rFonts w:hint="eastAsia" w:cs="方正仿宋简体" w:asciiTheme="minorEastAsia" w:hAnsiTheme="minorEastAsia" w:eastAsiaTheme="minorEastAsia"/>
          <w:bCs/>
          <w:color w:val="auto"/>
          <w:sz w:val="28"/>
          <w:szCs w:val="28"/>
          <w:highlight w:val="none"/>
        </w:rPr>
        <w:t>项目的特点，结合小河镇场地实际情况进行分析，明确建设方式与实际建设核心要点，结合总体规划、分区规划或控制性详规，制订用以指导各项建筑和工程设施的规划和施工的规划设计。</w:t>
      </w:r>
    </w:p>
    <w:p>
      <w:pPr>
        <w:spacing w:line="48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w:t>
      </w:r>
      <w:r>
        <w:rPr>
          <w:rFonts w:hint="eastAsia" w:cs="Arial" w:asciiTheme="minorEastAsia" w:hAnsiTheme="minorEastAsia" w:eastAsiaTheme="minorEastAsia"/>
          <w:color w:val="auto"/>
          <w:sz w:val="28"/>
          <w:szCs w:val="28"/>
          <w:highlight w:val="none"/>
        </w:rPr>
        <w:t>服务质量要求</w:t>
      </w:r>
    </w:p>
    <w:p>
      <w:pPr>
        <w:spacing w:line="580" w:lineRule="exact"/>
        <w:ind w:firstLine="560" w:firstLineChars="200"/>
        <w:rPr>
          <w:rFonts w:cs="方正仿宋简体" w:asciiTheme="minorEastAsia" w:hAnsiTheme="minorEastAsia" w:eastAsiaTheme="minorEastAsia"/>
          <w:bCs/>
          <w:color w:val="auto"/>
          <w:sz w:val="28"/>
          <w:szCs w:val="28"/>
          <w:highlight w:val="none"/>
        </w:rPr>
      </w:pPr>
      <w:r>
        <w:rPr>
          <w:rFonts w:hint="eastAsia" w:cs="方正仿宋简体" w:asciiTheme="minorEastAsia" w:hAnsiTheme="minorEastAsia" w:eastAsiaTheme="minorEastAsia"/>
          <w:bCs/>
          <w:color w:val="auto"/>
          <w:sz w:val="28"/>
          <w:szCs w:val="28"/>
          <w:highlight w:val="none"/>
        </w:rPr>
        <w:t>按照城市规划编制办法相关技术标准要求编制，达到修建性详细规划深度要求</w:t>
      </w:r>
      <w:r>
        <w:rPr>
          <w:rFonts w:hint="eastAsia" w:cs="方正仿宋简体" w:asciiTheme="minorEastAsia" w:hAnsiTheme="minorEastAsia" w:eastAsiaTheme="minorEastAsia"/>
          <w:bCs/>
          <w:color w:val="auto"/>
          <w:sz w:val="28"/>
          <w:szCs w:val="28"/>
          <w:highlight w:val="none"/>
          <w:lang w:val="en-US" w:eastAsia="zh-CN"/>
        </w:rPr>
        <w:t>以及石台县自然资源和规划局的要求</w:t>
      </w:r>
      <w:r>
        <w:rPr>
          <w:rFonts w:hint="eastAsia" w:cs="方正仿宋简体" w:asciiTheme="minorEastAsia" w:hAnsiTheme="minorEastAsia" w:eastAsiaTheme="minorEastAsia"/>
          <w:bCs/>
          <w:color w:val="auto"/>
          <w:sz w:val="28"/>
          <w:szCs w:val="28"/>
          <w:highlight w:val="none"/>
        </w:rPr>
        <w:t>。</w:t>
      </w:r>
    </w:p>
    <w:p>
      <w:pPr>
        <w:spacing w:line="480" w:lineRule="exact"/>
        <w:ind w:firstLine="560" w:firstLineChars="200"/>
        <w:rPr>
          <w:rFonts w:cs="Arial"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3、</w:t>
      </w:r>
      <w:r>
        <w:rPr>
          <w:rFonts w:hint="eastAsia" w:cs="Arial" w:asciiTheme="minorEastAsia" w:hAnsiTheme="minorEastAsia" w:eastAsiaTheme="minorEastAsia"/>
          <w:color w:val="auto"/>
          <w:sz w:val="28"/>
          <w:szCs w:val="28"/>
          <w:highlight w:val="none"/>
        </w:rPr>
        <w:t>服务成果要求</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w:t>
      </w:r>
      <w:r>
        <w:rPr>
          <w:rFonts w:cs="方正仿宋简体" w:asciiTheme="minorEastAsia" w:hAnsiTheme="minorEastAsia" w:eastAsiaTheme="minorEastAsia"/>
          <w:color w:val="auto"/>
          <w:sz w:val="28"/>
          <w:szCs w:val="28"/>
          <w:highlight w:val="none"/>
        </w:rPr>
        <w:t>1)</w:t>
      </w:r>
      <w:r>
        <w:rPr>
          <w:rFonts w:hint="eastAsia" w:cs="方正仿宋简体" w:asciiTheme="minorEastAsia" w:hAnsiTheme="minorEastAsia" w:eastAsiaTheme="minorEastAsia"/>
          <w:color w:val="auto"/>
          <w:sz w:val="28"/>
          <w:szCs w:val="28"/>
          <w:highlight w:val="none"/>
        </w:rPr>
        <w:t>规划说明书</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①</w:t>
      </w:r>
      <w:r>
        <w:rPr>
          <w:rFonts w:hint="eastAsia" w:cs="方正仿宋简体" w:asciiTheme="minorEastAsia" w:hAnsiTheme="minorEastAsia" w:eastAsiaTheme="minorEastAsia"/>
          <w:color w:val="auto"/>
          <w:sz w:val="28"/>
          <w:szCs w:val="28"/>
          <w:highlight w:val="none"/>
        </w:rPr>
        <w:t>现状条件分析；</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②规划原则和总体构思；</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③用地布局；</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④空间组织和景观特色要求；</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⑤道路和绿地系统规划；</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⑥各项专业工程规划及管网综合；</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⑦竖向规划；</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⑧主要技术经济指标，一般应包括以下各项：</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a.</w:t>
      </w:r>
      <w:r>
        <w:rPr>
          <w:rFonts w:hint="eastAsia" w:cs="方正仿宋简体" w:asciiTheme="minorEastAsia" w:hAnsiTheme="minorEastAsia" w:eastAsiaTheme="minorEastAsia"/>
          <w:color w:val="auto"/>
          <w:sz w:val="28"/>
          <w:szCs w:val="28"/>
          <w:highlight w:val="none"/>
        </w:rPr>
        <w:t>总用地面积；</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b.</w:t>
      </w:r>
      <w:r>
        <w:rPr>
          <w:rFonts w:hint="eastAsia" w:cs="方正仿宋简体" w:asciiTheme="minorEastAsia" w:hAnsiTheme="minorEastAsia" w:eastAsiaTheme="minorEastAsia"/>
          <w:color w:val="auto"/>
          <w:sz w:val="28"/>
          <w:szCs w:val="28"/>
          <w:highlight w:val="none"/>
        </w:rPr>
        <w:t>总建筑面积；</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c.</w:t>
      </w:r>
      <w:r>
        <w:rPr>
          <w:rFonts w:hint="eastAsia" w:cs="方正仿宋简体" w:asciiTheme="minorEastAsia" w:hAnsiTheme="minorEastAsia" w:eastAsiaTheme="minorEastAsia"/>
          <w:color w:val="auto"/>
          <w:sz w:val="28"/>
          <w:szCs w:val="28"/>
          <w:highlight w:val="none"/>
        </w:rPr>
        <w:t>建筑总面积，平均层数；</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d.</w:t>
      </w:r>
      <w:r>
        <w:rPr>
          <w:rFonts w:hint="eastAsia" w:cs="方正仿宋简体" w:asciiTheme="minorEastAsia" w:hAnsiTheme="minorEastAsia" w:eastAsiaTheme="minorEastAsia"/>
          <w:color w:val="auto"/>
          <w:sz w:val="28"/>
          <w:szCs w:val="28"/>
          <w:highlight w:val="none"/>
        </w:rPr>
        <w:t>容积率、建筑密度；</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cs="方正仿宋简体" w:asciiTheme="minorEastAsia" w:hAnsiTheme="minorEastAsia" w:eastAsiaTheme="minorEastAsia"/>
          <w:color w:val="auto"/>
          <w:sz w:val="28"/>
          <w:szCs w:val="28"/>
          <w:highlight w:val="none"/>
        </w:rPr>
        <w:t>e.</w:t>
      </w:r>
      <w:r>
        <w:rPr>
          <w:rFonts w:hint="eastAsia" w:cs="方正仿宋简体" w:asciiTheme="minorEastAsia" w:hAnsiTheme="minorEastAsia" w:eastAsiaTheme="minorEastAsia"/>
          <w:color w:val="auto"/>
          <w:sz w:val="28"/>
          <w:szCs w:val="28"/>
          <w:highlight w:val="none"/>
        </w:rPr>
        <w:t>绿地率。</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⑨工程量及投资估算</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（2）图纸</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①规划地段位置图。标明规划地段在城市的位置以及周围地区的关系；</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②规划地段现状图。图纸比例为1／500～1／2000，标明自然地形地貌、道路、绿化、工程管线及各类用地和建筑的范围、性质、层数、质量等；</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③规划总平面图。比例尺同上，图上应标明规划建筑、绿地、道路、广场、停车场、河湖水面的位置和范围。</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④道路交通规划图。比例尺同上，图上应标明道路的红线位置、横断面，道路交叉点坐标、标高、停车场用地界线；</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⑤竖向规划图。比例尺同上，图上标明道路交叉点、变坡点控制高程，室外地坪规划标高；</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⑥单项或综合工程管网规划图。比例尺同上，图上应标明各类市政公用设施管线的平面位置、管径、主要控制点标高，以及有关设施和构筑物位置；</w:t>
      </w:r>
    </w:p>
    <w:p>
      <w:pPr>
        <w:spacing w:line="580" w:lineRule="exact"/>
        <w:ind w:firstLine="560" w:firstLineChars="200"/>
        <w:rPr>
          <w:rFonts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⑦表达规划设计意图的模型或鸟瞰图。</w:t>
      </w:r>
    </w:p>
    <w:p>
      <w:pPr>
        <w:spacing w:line="580" w:lineRule="exact"/>
        <w:ind w:firstLine="560" w:firstLineChars="200"/>
        <w:rPr>
          <w:rFonts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以上内容，提供书面文本：最终稿5套（包括A3规划说明书+A3彩色文本图册）；成果资料电子版（可编辑）。甲方如需增加成果份数，则按规定费用另计。</w:t>
      </w:r>
    </w:p>
    <w:p>
      <w:pPr>
        <w:spacing w:line="580" w:lineRule="exact"/>
        <w:ind w:firstLine="560" w:firstLineChars="200"/>
        <w:rPr>
          <w:rFonts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4、质量检验标准</w:t>
      </w:r>
    </w:p>
    <w:p>
      <w:pPr>
        <w:spacing w:line="360" w:lineRule="auto"/>
        <w:ind w:firstLine="560" w:firstLineChars="200"/>
        <w:rPr>
          <w:rFonts w:hint="eastAsia" w:ascii="宋体" w:hAnsi="宋体" w:cs="宋体"/>
          <w:b/>
          <w:bCs/>
          <w:sz w:val="24"/>
        </w:rPr>
      </w:pPr>
      <w:r>
        <w:rPr>
          <w:rFonts w:hint="eastAsia" w:cs="方正仿宋简体" w:asciiTheme="minorEastAsia" w:hAnsiTheme="minorEastAsia" w:eastAsiaTheme="minorEastAsia"/>
          <w:color w:val="auto"/>
          <w:sz w:val="28"/>
          <w:szCs w:val="28"/>
          <w:highlight w:val="none"/>
          <w:lang w:val="en-US" w:eastAsia="zh-CN"/>
        </w:rPr>
        <w:t>达到采购方及相关规范的要求，规划编制成果应确保通过规委会审查通过。</w:t>
      </w:r>
    </w:p>
    <w:p>
      <w:pPr>
        <w:numPr>
          <w:ilvl w:val="0"/>
          <w:numId w:val="1"/>
        </w:numPr>
        <w:spacing w:line="360" w:lineRule="auto"/>
        <w:ind w:left="0" w:leftChars="0" w:firstLine="482" w:firstLineChars="200"/>
        <w:rPr>
          <w:rFonts w:hint="eastAsia" w:ascii="宋体" w:hAnsi="宋体" w:cs="宋体"/>
          <w:b/>
          <w:bCs/>
          <w:sz w:val="24"/>
        </w:rPr>
      </w:pPr>
      <w:r>
        <w:rPr>
          <w:rFonts w:hint="eastAsia" w:ascii="宋体" w:hAnsi="宋体" w:cs="宋体"/>
          <w:b/>
          <w:bCs/>
          <w:sz w:val="24"/>
        </w:rPr>
        <w:t>服务时间</w:t>
      </w:r>
    </w:p>
    <w:p>
      <w:pPr>
        <w:spacing w:line="360" w:lineRule="auto"/>
        <w:ind w:firstLine="560" w:firstLineChars="200"/>
        <w:rPr>
          <w:rFonts w:hint="default" w:cs="方正仿宋简体" w:asciiTheme="minorEastAsia" w:hAnsiTheme="minorEastAsia" w:eastAsiaTheme="minorEastAsia"/>
          <w:color w:val="auto"/>
          <w:sz w:val="28"/>
          <w:szCs w:val="28"/>
          <w:highlight w:val="none"/>
          <w:lang w:val="en-US" w:eastAsia="zh-CN"/>
        </w:rPr>
      </w:pPr>
      <w:r>
        <w:rPr>
          <w:rFonts w:hint="eastAsia" w:cs="方正仿宋简体" w:asciiTheme="minorEastAsia" w:hAnsiTheme="minorEastAsia" w:eastAsiaTheme="minorEastAsia"/>
          <w:color w:val="auto"/>
          <w:sz w:val="28"/>
          <w:szCs w:val="28"/>
          <w:highlight w:val="none"/>
          <w:lang w:val="en-US" w:eastAsia="zh-CN"/>
        </w:rPr>
        <w:t>合同签订后60天内完成规划项目成果文件，并配合报审报批相关工作。</w:t>
      </w:r>
    </w:p>
    <w:p>
      <w:pPr>
        <w:numPr>
          <w:ilvl w:val="0"/>
          <w:numId w:val="1"/>
        </w:numPr>
        <w:spacing w:line="348" w:lineRule="auto"/>
        <w:ind w:left="0" w:leftChars="0" w:firstLine="482" w:firstLineChars="200"/>
        <w:jc w:val="left"/>
        <w:rPr>
          <w:rFonts w:hint="eastAsia" w:ascii="宋体" w:hAnsi="宋体" w:cs="宋体"/>
          <w:b/>
          <w:bCs/>
          <w:sz w:val="24"/>
        </w:rPr>
      </w:pPr>
      <w:r>
        <w:rPr>
          <w:rFonts w:hint="eastAsia" w:ascii="宋体" w:hAnsi="宋体" w:cs="宋体"/>
          <w:b/>
          <w:bCs/>
          <w:sz w:val="24"/>
        </w:rPr>
        <w:t>付款方式</w:t>
      </w:r>
    </w:p>
    <w:p>
      <w:pPr>
        <w:spacing w:line="580" w:lineRule="exact"/>
        <w:ind w:firstLine="560" w:firstLineChars="200"/>
        <w:rPr>
          <w:rFonts w:hint="eastAsia" w:cs="方正仿宋简体" w:asciiTheme="minorEastAsia" w:hAnsiTheme="minorEastAsia" w:eastAsiaTheme="minorEastAsia"/>
          <w:color w:val="auto"/>
          <w:sz w:val="28"/>
          <w:szCs w:val="28"/>
          <w:highlight w:val="none"/>
        </w:rPr>
      </w:pPr>
      <w:r>
        <w:rPr>
          <w:rFonts w:hint="eastAsia" w:cs="方正仿宋简体" w:asciiTheme="minorEastAsia" w:hAnsiTheme="minorEastAsia" w:eastAsiaTheme="minorEastAsia"/>
          <w:color w:val="auto"/>
          <w:sz w:val="28"/>
          <w:szCs w:val="28"/>
          <w:highlight w:val="none"/>
        </w:rPr>
        <w:t>提供初稿</w:t>
      </w:r>
      <w:r>
        <w:rPr>
          <w:rFonts w:hint="eastAsia" w:cs="方正仿宋简体" w:asciiTheme="minorEastAsia" w:hAnsiTheme="minorEastAsia" w:eastAsiaTheme="minorEastAsia"/>
          <w:color w:val="auto"/>
          <w:sz w:val="28"/>
          <w:szCs w:val="28"/>
          <w:highlight w:val="none"/>
          <w:lang w:eastAsia="zh-CN"/>
        </w:rPr>
        <w:t>后</w:t>
      </w:r>
      <w:r>
        <w:rPr>
          <w:rFonts w:hint="eastAsia" w:cs="方正仿宋简体" w:asciiTheme="minorEastAsia" w:hAnsiTheme="minorEastAsia" w:eastAsiaTheme="minorEastAsia"/>
          <w:color w:val="auto"/>
          <w:sz w:val="28"/>
          <w:szCs w:val="28"/>
          <w:highlight w:val="none"/>
        </w:rPr>
        <w:t>20日内付</w:t>
      </w:r>
      <w:r>
        <w:rPr>
          <w:rFonts w:hint="eastAsia" w:cs="方正仿宋简体" w:asciiTheme="minorEastAsia" w:hAnsiTheme="minorEastAsia" w:eastAsiaTheme="minorEastAsia"/>
          <w:color w:val="auto"/>
          <w:sz w:val="28"/>
          <w:szCs w:val="28"/>
          <w:highlight w:val="none"/>
          <w:lang w:eastAsia="zh-CN"/>
        </w:rPr>
        <w:t>至合同价</w:t>
      </w:r>
      <w:r>
        <w:rPr>
          <w:rFonts w:hint="eastAsia" w:cs="方正仿宋简体" w:asciiTheme="minorEastAsia" w:hAnsiTheme="minorEastAsia" w:eastAsiaTheme="minorEastAsia"/>
          <w:color w:val="auto"/>
          <w:sz w:val="28"/>
          <w:szCs w:val="28"/>
          <w:highlight w:val="none"/>
        </w:rPr>
        <w:t>款</w:t>
      </w:r>
      <w:r>
        <w:rPr>
          <w:rFonts w:hint="eastAsia" w:cs="方正仿宋简体" w:asciiTheme="minorEastAsia" w:hAnsiTheme="minorEastAsia" w:eastAsiaTheme="minorEastAsia"/>
          <w:color w:val="auto"/>
          <w:sz w:val="28"/>
          <w:szCs w:val="28"/>
          <w:highlight w:val="none"/>
          <w:lang w:eastAsia="zh-CN"/>
        </w:rPr>
        <w:t>的</w:t>
      </w:r>
      <w:r>
        <w:rPr>
          <w:rFonts w:hint="eastAsia" w:cs="方正仿宋简体" w:asciiTheme="minorEastAsia" w:hAnsiTheme="minorEastAsia" w:eastAsiaTheme="minorEastAsia"/>
          <w:color w:val="auto"/>
          <w:sz w:val="28"/>
          <w:szCs w:val="28"/>
          <w:highlight w:val="none"/>
        </w:rPr>
        <w:t>40%；余款60%待最终成果经过石台县规划委员会审议通过后20日内一次性</w:t>
      </w:r>
      <w:r>
        <w:rPr>
          <w:rFonts w:hint="eastAsia" w:cs="方正仿宋简体" w:asciiTheme="minorEastAsia" w:hAnsiTheme="minorEastAsia" w:eastAsiaTheme="minorEastAsia"/>
          <w:color w:val="auto"/>
          <w:sz w:val="28"/>
          <w:szCs w:val="28"/>
          <w:highlight w:val="none"/>
          <w:lang w:eastAsia="zh-CN"/>
        </w:rPr>
        <w:t>无息</w:t>
      </w:r>
      <w:r>
        <w:rPr>
          <w:rFonts w:hint="eastAsia" w:cs="方正仿宋简体" w:asciiTheme="minorEastAsia" w:hAnsiTheme="minorEastAsia" w:eastAsiaTheme="minorEastAsia"/>
          <w:color w:val="auto"/>
          <w:sz w:val="28"/>
          <w:szCs w:val="28"/>
          <w:highlight w:val="none"/>
        </w:rPr>
        <w:t>付清。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00F98"/>
    <w:multiLevelType w:val="singleLevel"/>
    <w:tmpl w:val="18A00F9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F5413"/>
    <w:rsid w:val="09BF5413"/>
    <w:rsid w:val="42016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2"/>
    <w:qFormat/>
    <w:uiPriority w:val="0"/>
    <w:pPr>
      <w:widowControl w:val="0"/>
      <w:spacing w:before="240" w:beforeLines="100" w:after="240" w:afterLines="100"/>
      <w:jc w:val="center"/>
      <w:outlineLvl w:val="1"/>
    </w:pPr>
    <w:rPr>
      <w:rFonts w:ascii="黑体" w:hAnsi="黑体" w:eastAsia="黑体" w:cs="Times New Roman"/>
      <w:color w:val="000000"/>
      <w:kern w:val="2"/>
      <w:sz w:val="44"/>
      <w:szCs w:val="4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2021-03-15T06:33:00Z</dcterms:created>
  <dc:creator>NTKO</dc:creator>
  <cp:lastModifiedBy>背影里de沉默</cp:lastModifiedBy>
  <dcterms:modified xsi:type="dcterms:W3CDTF">2021-03-15T07:31:33Z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8968B5B451424F26833CEFAD15221F03</vt:lpwstr>
  </property>
</Properties>
</file>